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中信钛业股份有限公司拟对废旧物资进行公开竞价出售，具体内容如下。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632"/>
        <w:gridCol w:w="1639"/>
        <w:gridCol w:w="1314"/>
        <w:gridCol w:w="3107"/>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0"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338"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833"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6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579"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0"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338"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废机油</w:t>
            </w:r>
          </w:p>
        </w:tc>
        <w:tc>
          <w:tcPr>
            <w:tcW w:w="833"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约40吨</w:t>
            </w:r>
          </w:p>
        </w:tc>
        <w:tc>
          <w:tcPr>
            <w:tcW w:w="668"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579"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6C4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0" w:type="pct"/>
            <w:tcBorders>
              <w:top w:val="single" w:color="auto" w:sz="4" w:space="0"/>
              <w:left w:val="single" w:color="auto" w:sz="4" w:space="0"/>
              <w:bottom w:val="single" w:color="auto" w:sz="4" w:space="0"/>
              <w:right w:val="single" w:color="auto" w:sz="4" w:space="0"/>
            </w:tcBorders>
            <w:vAlign w:val="center"/>
          </w:tcPr>
          <w:p w14:paraId="46153702">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B</w:t>
            </w:r>
          </w:p>
        </w:tc>
        <w:tc>
          <w:tcPr>
            <w:tcW w:w="1338" w:type="pct"/>
            <w:tcBorders>
              <w:top w:val="single" w:color="auto" w:sz="4" w:space="0"/>
              <w:left w:val="single" w:color="auto" w:sz="4" w:space="0"/>
              <w:bottom w:val="single" w:color="auto" w:sz="4" w:space="0"/>
              <w:right w:val="single" w:color="auto" w:sz="4" w:space="0"/>
            </w:tcBorders>
            <w:vAlign w:val="center"/>
          </w:tcPr>
          <w:p w14:paraId="63A3C934">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废铅酸蓄电池</w:t>
            </w:r>
          </w:p>
        </w:tc>
        <w:tc>
          <w:tcPr>
            <w:tcW w:w="833" w:type="pct"/>
            <w:tcBorders>
              <w:top w:val="single" w:color="auto" w:sz="4" w:space="0"/>
              <w:left w:val="single" w:color="auto" w:sz="4" w:space="0"/>
              <w:bottom w:val="single" w:color="auto" w:sz="4" w:space="0"/>
              <w:right w:val="single" w:color="auto" w:sz="4" w:space="0"/>
            </w:tcBorders>
            <w:vAlign w:val="center"/>
          </w:tcPr>
          <w:p w14:paraId="67E9913A">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约10吨</w:t>
            </w:r>
          </w:p>
        </w:tc>
        <w:tc>
          <w:tcPr>
            <w:tcW w:w="668" w:type="pct"/>
            <w:tcBorders>
              <w:top w:val="single" w:color="auto" w:sz="4" w:space="0"/>
              <w:left w:val="single" w:color="auto" w:sz="4" w:space="0"/>
              <w:bottom w:val="single" w:color="auto" w:sz="4" w:space="0"/>
              <w:right w:val="single" w:color="auto" w:sz="4" w:space="0"/>
            </w:tcBorders>
            <w:vAlign w:val="center"/>
          </w:tcPr>
          <w:p w14:paraId="50B50AF9">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579" w:type="pct"/>
            <w:tcBorders>
              <w:top w:val="single" w:color="auto" w:sz="4" w:space="0"/>
              <w:left w:val="single" w:color="auto" w:sz="4" w:space="0"/>
              <w:bottom w:val="single" w:color="auto" w:sz="4" w:space="0"/>
              <w:right w:val="single" w:color="auto" w:sz="4" w:space="0"/>
            </w:tcBorders>
            <w:vAlign w:val="center"/>
          </w:tcPr>
          <w:p w14:paraId="201229DE">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以实际检斤为准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2.存放地点：中信钛业股份有限公司</w:t>
      </w:r>
      <w:r>
        <w:rPr>
          <w:rFonts w:hint="eastAsia" w:ascii="仿宋_GB2312" w:hAnsi="宋体" w:eastAsia="仿宋_GB2312"/>
          <w:sz w:val="32"/>
          <w:szCs w:val="32"/>
          <w:lang w:val="en-US" w:eastAsia="zh-CN"/>
        </w:rPr>
        <w:t>存储库</w:t>
      </w:r>
      <w:r>
        <w:rPr>
          <w:rFonts w:hint="eastAsia" w:ascii="仿宋_GB2312" w:hAnsi="宋体" w:eastAsia="仿宋_GB2312"/>
          <w:sz w:val="32"/>
          <w:szCs w:val="32"/>
        </w:rPr>
        <w:t>。</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ascii="仿宋_GB2312" w:hAnsi="仿宋_GB2312" w:eastAsia="仿宋_GB2312" w:cs="仿宋_GB2312"/>
          <w:sz w:val="32"/>
          <w:szCs w:val="32"/>
        </w:rPr>
        <w:t>竞价出售成交后，买方自备装卸、运输等工具，按合同约定期限运出出售方界区，每拖延一天收取买售方保管费用人民币1000元</w:t>
      </w:r>
      <w:r>
        <w:rPr>
          <w:rFonts w:hint="eastAsia" w:ascii="仿宋_GB2312" w:eastAsia="仿宋_GB2312"/>
          <w:sz w:val="32"/>
          <w:szCs w:val="32"/>
        </w:rPr>
        <w:t>。</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w:t>
      </w:r>
      <w:bookmarkStart w:id="0" w:name="_GoBack"/>
      <w:bookmarkEnd w:id="0"/>
      <w:r>
        <w:rPr>
          <w:rFonts w:hint="eastAsia" w:ascii="仿宋_GB2312" w:eastAsia="仿宋_GB2312"/>
          <w:sz w:val="32"/>
          <w:szCs w:val="32"/>
        </w:rPr>
        <w:t>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tbl>
      <w:tblPr>
        <w:tblStyle w:val="10"/>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2"/>
        <w:gridCol w:w="2937"/>
        <w:gridCol w:w="2433"/>
        <w:gridCol w:w="3095"/>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6" w:type="pct"/>
            <w:gridSpan w:val="2"/>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2938" w:type="dxa"/>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废机油</w:t>
            </w:r>
          </w:p>
        </w:tc>
        <w:tc>
          <w:tcPr>
            <w:tcW w:w="2432" w:type="dxa"/>
            <w:vAlign w:val="center"/>
          </w:tcPr>
          <w:p w14:paraId="08A4A837">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约40吨</w:t>
            </w:r>
          </w:p>
        </w:tc>
        <w:tc>
          <w:tcPr>
            <w:tcW w:w="1571" w:type="pct"/>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叁万</w:t>
            </w:r>
            <w:r>
              <w:rPr>
                <w:rFonts w:hint="eastAsia" w:ascii="仿宋_GB2312" w:hAnsi="宋体" w:eastAsia="仿宋_GB2312"/>
                <w:sz w:val="32"/>
                <w:szCs w:val="32"/>
              </w:rPr>
              <w:t>元整</w:t>
            </w:r>
          </w:p>
        </w:tc>
      </w:tr>
      <w:tr w14:paraId="68FA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0AB75EC9">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B</w:t>
            </w:r>
          </w:p>
        </w:tc>
        <w:tc>
          <w:tcPr>
            <w:tcW w:w="2938" w:type="dxa"/>
            <w:tcBorders>
              <w:top w:val="single" w:color="auto" w:sz="4" w:space="0"/>
              <w:left w:val="single" w:color="auto" w:sz="4" w:space="0"/>
              <w:bottom w:val="single" w:color="auto" w:sz="4" w:space="0"/>
              <w:right w:val="single" w:color="auto" w:sz="4" w:space="0"/>
            </w:tcBorders>
            <w:vAlign w:val="center"/>
          </w:tcPr>
          <w:p w14:paraId="65B97044">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废铅酸蓄电池</w:t>
            </w:r>
          </w:p>
        </w:tc>
        <w:tc>
          <w:tcPr>
            <w:tcW w:w="2432" w:type="dxa"/>
            <w:vAlign w:val="center"/>
          </w:tcPr>
          <w:p w14:paraId="7942EC75">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约10吨</w:t>
            </w:r>
          </w:p>
        </w:tc>
        <w:tc>
          <w:tcPr>
            <w:tcW w:w="1571" w:type="pct"/>
          </w:tcPr>
          <w:p w14:paraId="30282276">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贰万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w:t>
      </w:r>
      <w:r>
        <w:rPr>
          <w:rFonts w:hint="default" w:ascii="仿宋_GB2312" w:eastAsia="仿宋_GB2312"/>
          <w:sz w:val="28"/>
          <w:szCs w:val="28"/>
          <w:lang w:val="en-US"/>
        </w:rPr>
        <w:t>6</w:t>
      </w:r>
      <w:r>
        <w:rPr>
          <w:rFonts w:hint="eastAsia" w:ascii="仿宋_GB2312" w:eastAsia="仿宋_GB2312"/>
          <w:sz w:val="28"/>
          <w:szCs w:val="28"/>
        </w:rPr>
        <w:t>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w:t>
      </w:r>
      <w:r>
        <w:rPr>
          <w:rFonts w:hint="default" w:ascii="仿宋_GB2312" w:eastAsia="仿宋_GB2312"/>
          <w:sz w:val="28"/>
          <w:szCs w:val="28"/>
          <w:lang w:val="en-US"/>
        </w:rPr>
        <w:t>6</w:t>
      </w:r>
      <w:r>
        <w:rPr>
          <w:rFonts w:hint="eastAsia" w:ascii="仿宋_GB2312" w:eastAsia="仿宋_GB2312"/>
          <w:sz w:val="28"/>
          <w:szCs w:val="28"/>
        </w:rPr>
        <w:t>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Malgun Gothic" w:hAnsi="Malgun Gothic" w:eastAsia="Malgun Gothic"/>
          <w:b/>
          <w:sz w:val="36"/>
          <w:szCs w:val="36"/>
        </w:rPr>
      </w:pPr>
      <w:r>
        <w:br w:type="page"/>
      </w:r>
      <w:r>
        <w:rPr>
          <w:rFonts w:hint="eastAsia" w:ascii="Malgun Gothic" w:hAnsi="Malgun Gothic" w:eastAsia="Malgun Gothic"/>
          <w:b/>
          <w:bCs w:val="0"/>
          <w:sz w:val="36"/>
          <w:szCs w:val="36"/>
        </w:rPr>
        <w:t>附：网上竞价办法请与</w:t>
      </w:r>
      <w:r>
        <w:rPr>
          <w:rFonts w:hint="eastAsia" w:ascii="Malgun Gothic" w:hAnsi="Malgun Gothic" w:eastAsia="Malgun Gothic"/>
          <w:b/>
          <w:bCs w:val="0"/>
          <w:sz w:val="36"/>
          <w:szCs w:val="36"/>
          <w:lang w:val="en-US" w:eastAsia="zh-CN"/>
        </w:rPr>
        <w:t>工作</w:t>
      </w:r>
      <w:r>
        <w:rPr>
          <w:rFonts w:hint="eastAsia" w:ascii="Malgun Gothic" w:hAnsi="Malgun Gothic" w:eastAsia="Malgun Gothic"/>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w:rsids>
    <w:rsidRoot w:val="00000000"/>
    <w:rsid w:val="1CCB7841"/>
    <w:rsid w:val="57184DA4"/>
    <w:rsid w:val="5ACC1A92"/>
    <w:rsid w:val="64283A29"/>
    <w:rsid w:val="66AA2265"/>
    <w:rsid w:val="6AB509FA"/>
    <w:rsid w:val="797846B3"/>
    <w:rsid w:val="7AE04C06"/>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Malgun Gothic"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nhideWhenUsed="0"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semiHidden="0" w:name="Default Paragraph Font"/>
    <w:lsdException w:qFormat="1" w:unhideWhenUsed="0"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qFormat/>
    <w:uiPriority w:val="2"/>
  </w:style>
  <w:style w:type="table" w:default="1" w:styleId="9">
    <w:name w:val="Normal Table"/>
    <w:qFormat/>
    <w:uiPriority w:val="3"/>
    <w:tblPr>
      <w:tblCellMar>
        <w:top w:w="0" w:type="dxa"/>
        <w:left w:w="108" w:type="dxa"/>
        <w:bottom w:w="0" w:type="dxa"/>
        <w:right w:w="108" w:type="dxa"/>
      </w:tblCellMar>
    </w:tblPr>
  </w:style>
  <w:style w:type="paragraph" w:styleId="4">
    <w:name w:val="Body Text"/>
    <w:basedOn w:val="1"/>
    <w:link w:val="16"/>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10</Pages>
  <Words>3746</Words>
  <Characters>3831</Characters>
  <Paragraphs>156</Paragraphs>
  <TotalTime>4</TotalTime>
  <ScaleCrop>false</ScaleCrop>
  <LinksUpToDate>false</LinksUpToDate>
  <CharactersWithSpaces>4537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2026-04-01T05:35:26Z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eyJoZGlkIjoiYTA3MzNmMGY4NWU3YzI1Mzk1Njg5NGJlYjZjNmRiZjciLCJ1c2VySWQiOiI0MTg2MzQ0NDEifQ==</vt:lpwstr>
  </property>
  <property fmtid="{D5CDD505-2E9C-101B-9397-08002B2CF9AE}" pid="3" name="KSOProductBuildVer">
    <vt:lpwstr>2052-12.1.0.25225</vt:lpwstr>
  </property>
  <property fmtid="{D5CDD505-2E9C-101B-9397-08002B2CF9AE}" pid="4" name="ICV">
    <vt:lpwstr>e23b375635de4e40b112ba0c24a455e3_23</vt:lpwstr>
  </property>
</Properties>
</file>